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41E14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14F76" w:rsidP="00041E1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26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041E14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 2015</w:t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4F0E94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Ocak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  <w:lang w:eastAsia="tr-TR"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</w:t>
      </w:r>
      <w:bookmarkStart w:id="0" w:name="_GoBack"/>
      <w:bookmarkEnd w:id="0"/>
      <w:r w:rsidR="00BA0AF0" w:rsidRPr="002B5EAF">
        <w:rPr>
          <w:rFonts w:ascii="Times New Roman" w:hAnsi="Times New Roman" w:cs="Times New Roman"/>
          <w:b/>
        </w:rPr>
        <w:t xml:space="preserve">tarafından </w:t>
      </w:r>
      <w:r w:rsidR="008C3A4E">
        <w:rPr>
          <w:rFonts w:ascii="Times New Roman" w:hAnsi="Times New Roman" w:cs="Times New Roman"/>
          <w:b/>
        </w:rPr>
        <w:t>26</w:t>
      </w:r>
      <w:r w:rsidR="00BA0AF0" w:rsidRPr="002B5E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Ocak 2015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  <w:rPr>
          <w:lang w:eastAsia="tr-TR"/>
        </w:rPr>
      </w:pPr>
      <w:r>
        <w:rPr>
          <w:lang w:eastAsia="tr-TR"/>
        </w:rPr>
        <w:t>İnşaat</w:t>
      </w:r>
      <w:r w:rsidRPr="002B5EAF">
        <w:rPr>
          <w:lang w:eastAsia="tr-TR"/>
        </w:rPr>
        <w:t xml:space="preserve"> sektörü güven endeksi</w:t>
      </w:r>
    </w:p>
    <w:p w:rsidR="00BA0AF0" w:rsidRDefault="00BA0AF0" w:rsidP="00BA0AF0">
      <w:pPr>
        <w:jc w:val="both"/>
        <w:rPr>
          <w:rFonts w:ascii="Times New Roman" w:hAnsi="Times New Roman" w:cs="Times New Roman"/>
        </w:rPr>
      </w:pPr>
      <w:r w:rsidRPr="00472839">
        <w:rPr>
          <w:rFonts w:ascii="Times New Roman" w:hAnsi="Times New Roman" w:cs="Times New Roman"/>
        </w:rPr>
        <w:t xml:space="preserve">2014 yılı </w:t>
      </w:r>
      <w:r w:rsidR="004F0E94">
        <w:rPr>
          <w:rFonts w:ascii="Times New Roman" w:hAnsi="Times New Roman" w:cs="Times New Roman"/>
        </w:rPr>
        <w:t>Aralık</w:t>
      </w:r>
      <w:r w:rsidRPr="00472839">
        <w:rPr>
          <w:rFonts w:ascii="Times New Roman" w:hAnsi="Times New Roman" w:cs="Times New Roman"/>
        </w:rPr>
        <w:t xml:space="preserve"> ayında </w:t>
      </w:r>
      <w:r w:rsidR="008C3A4E">
        <w:rPr>
          <w:rFonts w:ascii="Times New Roman" w:hAnsi="Times New Roman" w:cs="Times New Roman"/>
        </w:rPr>
        <w:t>83</w:t>
      </w:r>
      <w:r w:rsidR="004F0E94">
        <w:rPr>
          <w:rFonts w:ascii="Times New Roman" w:hAnsi="Times New Roman" w:cs="Times New Roman"/>
        </w:rPr>
        <w:t>,2</w:t>
      </w:r>
      <w:r w:rsidRPr="00472839">
        <w:rPr>
          <w:rFonts w:ascii="Times New Roman" w:hAnsi="Times New Roman" w:cs="Times New Roman"/>
        </w:rPr>
        <w:t xml:space="preserve"> olan mevsim etkilerinden arındırılmış inşaat sektörü güven endeksi, </w:t>
      </w:r>
      <w:r w:rsidR="004F0E94">
        <w:rPr>
          <w:rFonts w:ascii="Times New Roman" w:hAnsi="Times New Roman" w:cs="Times New Roman"/>
        </w:rPr>
        <w:t>Ocak ayında 0,8 puan azalarak</w:t>
      </w:r>
      <w:r w:rsidR="008C3A4E">
        <w:rPr>
          <w:rFonts w:ascii="Times New Roman" w:hAnsi="Times New Roman" w:cs="Times New Roman"/>
        </w:rPr>
        <w:t xml:space="preserve"> 8</w:t>
      </w:r>
      <w:r w:rsidR="004F0E94">
        <w:rPr>
          <w:rFonts w:ascii="Times New Roman" w:hAnsi="Times New Roman" w:cs="Times New Roman"/>
        </w:rPr>
        <w:t>2,4</w:t>
      </w:r>
      <w:r w:rsidRPr="00472839">
        <w:rPr>
          <w:rFonts w:ascii="Times New Roman" w:hAnsi="Times New Roman" w:cs="Times New Roman"/>
        </w:rPr>
        <w:t xml:space="preserve"> seviyesine </w:t>
      </w:r>
      <w:r w:rsidR="004F0E94">
        <w:rPr>
          <w:rFonts w:ascii="Times New Roman" w:hAnsi="Times New Roman" w:cs="Times New Roman"/>
        </w:rPr>
        <w:t>gerilemiştir</w:t>
      </w:r>
      <w:r w:rsidRPr="00472839">
        <w:rPr>
          <w:rFonts w:ascii="Times New Roman" w:hAnsi="Times New Roman" w:cs="Times New Roman"/>
        </w:rPr>
        <w:t>.</w:t>
      </w:r>
      <w:r w:rsidR="008541D6">
        <w:rPr>
          <w:rFonts w:ascii="Times New Roman" w:hAnsi="Times New Roman" w:cs="Times New Roman"/>
        </w:rPr>
        <w:t xml:space="preserve"> Endeksin son 3 aydır yatay bir seyir izlediği görülmektedir. Endeks,</w:t>
      </w:r>
      <w:r w:rsidRPr="00472839">
        <w:rPr>
          <w:rFonts w:ascii="Times New Roman" w:hAnsi="Times New Roman" w:cs="Times New Roman"/>
        </w:rPr>
        <w:t xml:space="preserve"> </w:t>
      </w:r>
      <w:r w:rsidR="008541D6">
        <w:rPr>
          <w:rFonts w:ascii="Times New Roman" w:hAnsi="Times New Roman" w:cs="Times New Roman"/>
        </w:rPr>
        <w:t xml:space="preserve">yıllık </w:t>
      </w:r>
      <w:proofErr w:type="gramStart"/>
      <w:r w:rsidR="008541D6">
        <w:rPr>
          <w:rFonts w:ascii="Times New Roman" w:hAnsi="Times New Roman" w:cs="Times New Roman"/>
        </w:rPr>
        <w:t>bazda</w:t>
      </w:r>
      <w:proofErr w:type="gramEnd"/>
      <w:r w:rsidR="004F0E94">
        <w:rPr>
          <w:rFonts w:ascii="Times New Roman" w:hAnsi="Times New Roman" w:cs="Times New Roman"/>
        </w:rPr>
        <w:t xml:space="preserve"> ise 5,8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A270E3">
        <w:rPr>
          <w:rFonts w:ascii="Times New Roman" w:hAnsi="Times New Roman" w:cs="Times New Roman"/>
        </w:rPr>
        <w:t>gerileyerek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4F0E94">
        <w:rPr>
          <w:rFonts w:ascii="Times New Roman" w:hAnsi="Times New Roman" w:cs="Times New Roman"/>
        </w:rPr>
        <w:t>zde 6,6</w:t>
      </w:r>
      <w:r w:rsidR="003E7ABA" w:rsidRPr="00472839">
        <w:rPr>
          <w:rFonts w:ascii="Times New Roman" w:hAnsi="Times New Roman" w:cs="Times New Roman"/>
        </w:rPr>
        <w:t xml:space="preserve"> oranında </w:t>
      </w:r>
      <w:r w:rsidR="004F0E94">
        <w:rPr>
          <w:rFonts w:ascii="Times New Roman" w:hAnsi="Times New Roman" w:cs="Times New Roman"/>
        </w:rPr>
        <w:t>azalmıştır</w:t>
      </w:r>
      <w:r w:rsidR="003E7ABA" w:rsidRPr="00472839">
        <w:rPr>
          <w:rFonts w:ascii="Times New Roman" w:hAnsi="Times New Roman" w:cs="Times New Roman"/>
        </w:rPr>
        <w:t>.</w:t>
      </w:r>
    </w:p>
    <w:p w:rsidR="00E22179" w:rsidRPr="00DC3CEB" w:rsidRDefault="00E22179" w:rsidP="00BA0AF0">
      <w:pPr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 xml:space="preserve">Mevsimlikten arındırılmamış inşaat sektörü </w:t>
      </w:r>
      <w:r w:rsidR="008541D6">
        <w:rPr>
          <w:rFonts w:ascii="Times New Roman" w:hAnsi="Times New Roman" w:cs="Times New Roman"/>
          <w:lang w:eastAsia="tr-TR"/>
        </w:rPr>
        <w:t>güven endeksine bakıldığında</w:t>
      </w:r>
      <w:r w:rsidRPr="002B5EAF">
        <w:rPr>
          <w:rFonts w:ascii="Times New Roman" w:hAnsi="Times New Roman" w:cs="Times New Roman"/>
          <w:lang w:eastAsia="tr-TR"/>
        </w:rPr>
        <w:t>, 201</w:t>
      </w:r>
      <w:r w:rsidR="00A270E3">
        <w:rPr>
          <w:rFonts w:ascii="Times New Roman" w:hAnsi="Times New Roman" w:cs="Times New Roman"/>
          <w:lang w:eastAsia="tr-TR"/>
        </w:rPr>
        <w:t>5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A270E3">
        <w:rPr>
          <w:rFonts w:ascii="Times New Roman" w:hAnsi="Times New Roman" w:cs="Times New Roman"/>
          <w:lang w:eastAsia="tr-TR"/>
        </w:rPr>
        <w:t>Ocak ayında bir önceki aya göre 7,6</w:t>
      </w:r>
      <w:r w:rsidRPr="002B5EAF">
        <w:rPr>
          <w:rFonts w:ascii="Times New Roman" w:hAnsi="Times New Roman" w:cs="Times New Roman"/>
          <w:lang w:eastAsia="tr-TR"/>
        </w:rPr>
        <w:t xml:space="preserve"> puan </w:t>
      </w:r>
      <w:r w:rsidR="008541D6">
        <w:rPr>
          <w:rFonts w:ascii="Times New Roman" w:hAnsi="Times New Roman" w:cs="Times New Roman"/>
          <w:lang w:eastAsia="tr-TR"/>
        </w:rPr>
        <w:t>gibi yüksek bir artışla</w:t>
      </w:r>
      <w:r w:rsidR="00A270E3">
        <w:rPr>
          <w:rFonts w:ascii="Times New Roman" w:hAnsi="Times New Roman" w:cs="Times New Roman"/>
          <w:lang w:eastAsia="tr-TR"/>
        </w:rPr>
        <w:t xml:space="preserve"> 81,1</w:t>
      </w:r>
      <w:r w:rsidRPr="002B5EAF">
        <w:rPr>
          <w:rFonts w:ascii="Times New Roman" w:hAnsi="Times New Roman" w:cs="Times New Roman"/>
          <w:lang w:eastAsia="tr-TR"/>
        </w:rPr>
        <w:t xml:space="preserve"> puana </w:t>
      </w:r>
      <w:r w:rsidR="00A270E3">
        <w:rPr>
          <w:rFonts w:ascii="Times New Roman" w:hAnsi="Times New Roman" w:cs="Times New Roman"/>
          <w:lang w:eastAsia="tr-TR"/>
        </w:rPr>
        <w:t>yükselmiştir</w:t>
      </w:r>
      <w:r w:rsidRPr="002B5EAF">
        <w:rPr>
          <w:rFonts w:ascii="Times New Roman" w:hAnsi="Times New Roman" w:cs="Times New Roman"/>
          <w:lang w:eastAsia="tr-TR"/>
        </w:rPr>
        <w:t>. 201</w:t>
      </w:r>
      <w:r w:rsidR="00A270E3">
        <w:rPr>
          <w:rFonts w:ascii="Times New Roman" w:hAnsi="Times New Roman" w:cs="Times New Roman"/>
          <w:lang w:eastAsia="tr-TR"/>
        </w:rPr>
        <w:t>4</w:t>
      </w:r>
      <w:r w:rsidRPr="002B5EAF">
        <w:rPr>
          <w:rFonts w:ascii="Times New Roman" w:hAnsi="Times New Roman" w:cs="Times New Roman"/>
          <w:lang w:eastAsia="tr-TR"/>
        </w:rPr>
        <w:t xml:space="preserve"> </w:t>
      </w:r>
      <w:r w:rsidR="00A270E3">
        <w:rPr>
          <w:rFonts w:ascii="Times New Roman" w:hAnsi="Times New Roman" w:cs="Times New Roman"/>
          <w:lang w:eastAsia="tr-TR"/>
        </w:rPr>
        <w:t>Ocak</w:t>
      </w:r>
      <w:r w:rsidRPr="002B5EAF">
        <w:rPr>
          <w:rFonts w:ascii="Times New Roman" w:hAnsi="Times New Roman" w:cs="Times New Roman"/>
          <w:lang w:eastAsia="tr-TR"/>
        </w:rPr>
        <w:t xml:space="preserve"> ayı verilerine göre incelendiğinde ise, yüzde </w:t>
      </w:r>
      <w:r w:rsidR="00A270E3">
        <w:rPr>
          <w:rFonts w:ascii="Times New Roman" w:eastAsia="Times New Roman" w:hAnsi="Times New Roman" w:cs="Times New Roman"/>
          <w:color w:val="000000"/>
          <w:lang w:eastAsia="tr-TR"/>
        </w:rPr>
        <w:t>6,7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oranında </w:t>
      </w:r>
      <w:r w:rsidR="00A270E3">
        <w:rPr>
          <w:rFonts w:ascii="Times New Roman" w:eastAsia="Times New Roman" w:hAnsi="Times New Roman" w:cs="Times New Roman"/>
          <w:color w:val="000000"/>
          <w:lang w:eastAsia="tr-TR"/>
        </w:rPr>
        <w:t>azaldığı</w:t>
      </w:r>
      <w:r w:rsidRPr="002B5EAF">
        <w:rPr>
          <w:rFonts w:ascii="Times New Roman" w:eastAsia="Times New Roman" w:hAnsi="Times New Roman" w:cs="Times New Roman"/>
          <w:color w:val="000000"/>
          <w:lang w:eastAsia="tr-TR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2422FE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2422FE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Pr="002B5EAF">
        <w:rPr>
          <w:rFonts w:ascii="Times New Roman" w:hAnsi="Times New Roman" w:cs="Times New Roman"/>
          <w:noProof/>
          <w:sz w:val="22"/>
          <w:szCs w:val="22"/>
        </w:rPr>
        <w:t>1</w:t>
      </w:r>
      <w:r w:rsidR="002422FE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A270E3">
        <w:rPr>
          <w:rFonts w:ascii="Times New Roman" w:hAnsi="Times New Roman" w:cs="Times New Roman"/>
          <w:sz w:val="22"/>
          <w:szCs w:val="22"/>
        </w:rPr>
        <w:t>Ocak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A270E3">
        <w:rPr>
          <w:rFonts w:ascii="Times New Roman" w:hAnsi="Times New Roman" w:cs="Times New Roman"/>
          <w:sz w:val="22"/>
          <w:szCs w:val="22"/>
        </w:rPr>
        <w:t>Ocak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F2387A" w:rsidP="00F2387A">
      <w:pPr>
        <w:rPr>
          <w:rFonts w:ascii="Times New Roman" w:hAnsi="Times New Roman" w:cs="Times New Roman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 xml:space="preserve"> </w:t>
      </w:r>
      <w:r w:rsidR="00A270E3" w:rsidRPr="00A270E3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60720" cy="3064708"/>
            <wp:effectExtent l="19050" t="0" r="11430" b="2342"/>
            <wp:docPr id="3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41D6" w:rsidRDefault="008541D6" w:rsidP="00415908">
      <w:pPr>
        <w:rPr>
          <w:rFonts w:ascii="Times New Roman" w:hAnsi="Times New Roman" w:cs="Times New Roman"/>
          <w:lang w:eastAsia="tr-TR"/>
        </w:rPr>
      </w:pPr>
    </w:p>
    <w:p w:rsidR="008541D6" w:rsidRDefault="008541D6" w:rsidP="00415908">
      <w:pPr>
        <w:rPr>
          <w:rFonts w:ascii="Times New Roman" w:hAnsi="Times New Roman" w:cs="Times New Roman"/>
          <w:lang w:eastAsia="tr-TR"/>
        </w:rPr>
      </w:pPr>
    </w:p>
    <w:p w:rsidR="008541D6" w:rsidRDefault="008541D6" w:rsidP="00415908">
      <w:pPr>
        <w:rPr>
          <w:rFonts w:ascii="Times New Roman" w:hAnsi="Times New Roman" w:cs="Times New Roman"/>
          <w:lang w:eastAsia="tr-TR"/>
        </w:rPr>
      </w:pPr>
    </w:p>
    <w:p w:rsidR="008541D6" w:rsidRDefault="008541D6" w:rsidP="00415908">
      <w:pPr>
        <w:rPr>
          <w:rFonts w:ascii="Times New Roman" w:hAnsi="Times New Roman" w:cs="Times New Roman"/>
          <w:lang w:eastAsia="tr-TR"/>
        </w:rPr>
      </w:pPr>
    </w:p>
    <w:p w:rsidR="008541D6" w:rsidRDefault="008541D6" w:rsidP="00415908">
      <w:pPr>
        <w:rPr>
          <w:rFonts w:ascii="Times New Roman" w:hAnsi="Times New Roman" w:cs="Times New Roman"/>
          <w:lang w:eastAsia="tr-TR"/>
        </w:rPr>
      </w:pPr>
    </w:p>
    <w:p w:rsidR="008541D6" w:rsidRDefault="008541D6" w:rsidP="00415908">
      <w:pPr>
        <w:rPr>
          <w:rFonts w:ascii="Times New Roman" w:hAnsi="Times New Roman" w:cs="Times New Roman"/>
          <w:lang w:eastAsia="tr-TR"/>
        </w:rPr>
      </w:pPr>
    </w:p>
    <w:p w:rsidR="00B81204" w:rsidRDefault="00415908" w:rsidP="00415908">
      <w:pPr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lastRenderedPageBreak/>
        <w:t xml:space="preserve">Mevsimlikten arındırılmış inşaat sektörü güven endeksini oluşturan alt kalemlere bakıldığında, </w:t>
      </w:r>
      <w:r w:rsidR="008541D6">
        <w:rPr>
          <w:rFonts w:ascii="Times New Roman" w:hAnsi="Times New Roman" w:cs="Times New Roman"/>
          <w:lang w:eastAsia="tr-TR"/>
        </w:rPr>
        <w:t xml:space="preserve">endeksteki göreceli kötüleşmenin toplam çalışan sayısı beklentisinden kaynaklandığı görülmektedir. Gelecek 3 aylık dönem için toplam çalışan sayısı beklentisi, Aralık 2014 seviyesine göre yüzde 2,7 oranında azalarak 98,4 puan olmuştur. </w:t>
      </w:r>
      <w:r w:rsidR="00B81204">
        <w:rPr>
          <w:rFonts w:ascii="Times New Roman" w:hAnsi="Times New Roman" w:cs="Times New Roman"/>
          <w:lang w:eastAsia="tr-TR"/>
        </w:rPr>
        <w:t>Aralık 2014’te 65,3</w:t>
      </w:r>
      <w:r>
        <w:rPr>
          <w:rFonts w:ascii="Times New Roman" w:hAnsi="Times New Roman" w:cs="Times New Roman"/>
          <w:lang w:eastAsia="tr-TR"/>
        </w:rPr>
        <w:t xml:space="preserve"> puan olan alınan kayıt</w:t>
      </w:r>
      <w:r w:rsidR="008541D6">
        <w:rPr>
          <w:rFonts w:ascii="Times New Roman" w:hAnsi="Times New Roman" w:cs="Times New Roman"/>
          <w:lang w:eastAsia="tr-TR"/>
        </w:rPr>
        <w:t xml:space="preserve">lı siparişlerin mevcut düzeyi ise yalnızca </w:t>
      </w:r>
      <w:r w:rsidR="00B81204">
        <w:rPr>
          <w:rFonts w:ascii="Times New Roman" w:hAnsi="Times New Roman" w:cs="Times New Roman"/>
          <w:lang w:eastAsia="tr-TR"/>
        </w:rPr>
        <w:t>1,1</w:t>
      </w:r>
      <w:r>
        <w:rPr>
          <w:rFonts w:ascii="Times New Roman" w:hAnsi="Times New Roman" w:cs="Times New Roman"/>
          <w:lang w:eastAsia="tr-TR"/>
        </w:rPr>
        <w:t xml:space="preserve"> puan </w:t>
      </w:r>
      <w:r w:rsidR="008541D6">
        <w:rPr>
          <w:rFonts w:ascii="Times New Roman" w:hAnsi="Times New Roman" w:cs="Times New Roman"/>
          <w:lang w:eastAsia="tr-TR"/>
        </w:rPr>
        <w:t>artmıştır</w:t>
      </w:r>
      <w:r>
        <w:rPr>
          <w:rFonts w:ascii="Times New Roman" w:hAnsi="Times New Roman" w:cs="Times New Roman"/>
          <w:lang w:eastAsia="tr-TR"/>
        </w:rPr>
        <w:t xml:space="preserve"> (Tablo 1). </w:t>
      </w:r>
    </w:p>
    <w:p w:rsidR="00B81204" w:rsidRDefault="00B81204" w:rsidP="00415908">
      <w:pPr>
        <w:rPr>
          <w:rFonts w:ascii="Times New Roman" w:hAnsi="Times New Roman" w:cs="Times New Roman"/>
          <w:lang w:eastAsia="tr-TR"/>
        </w:rPr>
      </w:pPr>
    </w:p>
    <w:p w:rsidR="008541D6" w:rsidRPr="002B5EAF" w:rsidRDefault="008541D6" w:rsidP="00415908">
      <w:pPr>
        <w:rPr>
          <w:rFonts w:ascii="Times New Roman" w:hAnsi="Times New Roman" w:cs="Times New Roman"/>
          <w:lang w:eastAsia="tr-TR"/>
        </w:rPr>
      </w:pPr>
    </w:p>
    <w:p w:rsidR="00415908" w:rsidRDefault="00415908" w:rsidP="00415908">
      <w:pPr>
        <w:pStyle w:val="ResimYazs"/>
        <w:keepNext/>
      </w:pPr>
      <w:r>
        <w:t xml:space="preserve">Tablo </w:t>
      </w:r>
      <w:r w:rsidR="00131A1B">
        <w:fldChar w:fldCharType="begin"/>
      </w:r>
      <w:r w:rsidR="00131A1B">
        <w:instrText xml:space="preserve"> SEQ Tablo \* ARABIC </w:instrText>
      </w:r>
      <w:r w:rsidR="00131A1B">
        <w:fldChar w:fldCharType="separate"/>
      </w:r>
      <w:r>
        <w:rPr>
          <w:noProof/>
        </w:rPr>
        <w:t>1</w:t>
      </w:r>
      <w:r w:rsidR="00131A1B">
        <w:rPr>
          <w:noProof/>
        </w:rPr>
        <w:fldChar w:fldCharType="end"/>
      </w:r>
      <w:r w:rsidR="00F5267F">
        <w:t>: İnşaat Sektörü Güven Endeksi B</w:t>
      </w:r>
      <w:r>
        <w:t>ileşenleri (</w:t>
      </w:r>
      <w:r w:rsidR="00B81204">
        <w:t>Aralık 2014</w:t>
      </w:r>
      <w:r>
        <w:t>-</w:t>
      </w:r>
      <w:r w:rsidR="00B81204">
        <w:t>Ocak 2015</w:t>
      </w:r>
      <w: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DC3CEB" w:rsidRPr="00415908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415908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DC3CEB" w:rsidRPr="00415908" w:rsidRDefault="00B81204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.14</w:t>
            </w:r>
          </w:p>
        </w:tc>
        <w:tc>
          <w:tcPr>
            <w:tcW w:w="1328" w:type="dxa"/>
            <w:noWrap/>
            <w:hideMark/>
          </w:tcPr>
          <w:p w:rsidR="00DC3CEB" w:rsidRPr="00415908" w:rsidRDefault="00B81204" w:rsidP="00BE1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</w:t>
            </w:r>
            <w:r w:rsidR="00DC3CEB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 w:rsidR="00BE14F5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DC3CEB" w:rsidRPr="00DC3CEB" w:rsidTr="00DC3CE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İnşaat Sektörü Güven Endeksi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1026C6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,2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415908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1026C6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DC3CEB" w:rsidRPr="00DC3CEB" w:rsidTr="00DC3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Alınan Kayıtlı Siparişlerin mevcut düzeyi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DC3CEB" w:rsidP="0010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  <w:r w:rsidR="00B81204">
              <w:rPr>
                <w:rFonts w:ascii="Calibri" w:eastAsia="Times New Roman" w:hAnsi="Calibri" w:cs="Times New Roman"/>
                <w:color w:val="000000"/>
                <w:lang w:eastAsia="tr-TR"/>
              </w:rPr>
              <w:t>5,3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B81204" w:rsidP="00DC3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66</w:t>
            </w:r>
            <w:r w:rsidR="00DC3CEB"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</w:tr>
      <w:tr w:rsidR="00DC3CEB" w:rsidRPr="00DC3CEB" w:rsidTr="00DC3CEB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hideMark/>
          </w:tcPr>
          <w:p w:rsidR="00DC3CEB" w:rsidRPr="00DC3CEB" w:rsidRDefault="00B81204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101</w:t>
            </w:r>
            <w:r w:rsidR="001026C6">
              <w:rPr>
                <w:rFonts w:ascii="Calibri" w:eastAsia="Times New Roman" w:hAnsi="Calibri" w:cs="Times New Roman"/>
                <w:color w:val="000000"/>
                <w:lang w:eastAsia="tr-TR"/>
              </w:rPr>
              <w:t>,1</w:t>
            </w:r>
          </w:p>
        </w:tc>
        <w:tc>
          <w:tcPr>
            <w:tcW w:w="1328" w:type="dxa"/>
            <w:noWrap/>
            <w:hideMark/>
          </w:tcPr>
          <w:p w:rsidR="00DC3CEB" w:rsidRPr="00DC3CEB" w:rsidRDefault="00B81204" w:rsidP="00DC3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98,4</w:t>
            </w:r>
          </w:p>
        </w:tc>
      </w:tr>
    </w:tbl>
    <w:p w:rsidR="00DC3CEB" w:rsidRDefault="00DC3CEB" w:rsidP="00F2387A">
      <w:pPr>
        <w:rPr>
          <w:rFonts w:ascii="Times New Roman" w:hAnsi="Times New Roman" w:cs="Times New Roman"/>
          <w:lang w:eastAsia="tr-TR"/>
        </w:rPr>
      </w:pPr>
    </w:p>
    <w:p w:rsidR="00E12C81" w:rsidRDefault="00E12C81" w:rsidP="00472839">
      <w:pPr>
        <w:pStyle w:val="Balk2"/>
        <w:rPr>
          <w:lang w:eastAsia="tr-TR"/>
        </w:rPr>
      </w:pPr>
      <w:r w:rsidRPr="002B5EAF">
        <w:rPr>
          <w:lang w:eastAsia="tr-TR"/>
        </w:rPr>
        <w:t>Hizmet sektörü güven endeksi</w:t>
      </w:r>
    </w:p>
    <w:p w:rsidR="00415908" w:rsidRDefault="00EE3747" w:rsidP="00415908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>2015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>
        <w:rPr>
          <w:rFonts w:ascii="Times New Roman" w:hAnsi="Times New Roman" w:cs="Times New Roman"/>
          <w:lang w:eastAsia="tr-TR"/>
        </w:rPr>
        <w:t>Ocak</w:t>
      </w:r>
      <w:r w:rsidR="00415908" w:rsidRPr="002B5EAF">
        <w:rPr>
          <w:rFonts w:ascii="Times New Roman" w:hAnsi="Times New Roman" w:cs="Times New Roman"/>
          <w:lang w:eastAsia="tr-TR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  <w:lang w:eastAsia="tr-TR"/>
        </w:rPr>
        <w:t>(Şekil 2)</w:t>
      </w:r>
      <w:r>
        <w:rPr>
          <w:rFonts w:ascii="Times New Roman" w:hAnsi="Times New Roman" w:cs="Times New Roman"/>
          <w:lang w:eastAsia="tr-TR"/>
        </w:rPr>
        <w:t>, 2014</w:t>
      </w:r>
      <w:r w:rsidR="00415908" w:rsidRPr="002B5EAF">
        <w:rPr>
          <w:rFonts w:ascii="Times New Roman" w:hAnsi="Times New Roman" w:cs="Times New Roman"/>
          <w:lang w:eastAsia="tr-TR"/>
        </w:rPr>
        <w:t xml:space="preserve"> yılı </w:t>
      </w:r>
      <w:r>
        <w:rPr>
          <w:rFonts w:ascii="Times New Roman" w:hAnsi="Times New Roman" w:cs="Times New Roman"/>
          <w:lang w:eastAsia="tr-TR"/>
        </w:rPr>
        <w:t>Ocak ayına göre 1</w:t>
      </w:r>
      <w:r w:rsidR="00BB0798">
        <w:rPr>
          <w:rFonts w:ascii="Times New Roman" w:hAnsi="Times New Roman" w:cs="Times New Roman"/>
          <w:lang w:eastAsia="tr-TR"/>
        </w:rPr>
        <w:t xml:space="preserve">,5 oranında </w:t>
      </w:r>
      <w:r w:rsidR="008541D6">
        <w:rPr>
          <w:rFonts w:ascii="Times New Roman" w:hAnsi="Times New Roman" w:cs="Times New Roman"/>
          <w:lang w:eastAsia="tr-TR"/>
        </w:rPr>
        <w:t xml:space="preserve"> (1,6 puan) </w:t>
      </w:r>
      <w:r w:rsidR="00BB0798">
        <w:rPr>
          <w:rFonts w:ascii="Times New Roman" w:hAnsi="Times New Roman" w:cs="Times New Roman"/>
          <w:lang w:eastAsia="tr-TR"/>
        </w:rPr>
        <w:t>düşüş gösterdiği</w:t>
      </w:r>
      <w:r w:rsidR="008541D6">
        <w:rPr>
          <w:rFonts w:ascii="Times New Roman" w:hAnsi="Times New Roman" w:cs="Times New Roman"/>
          <w:lang w:eastAsia="tr-TR"/>
        </w:rPr>
        <w:t xml:space="preserve"> </w:t>
      </w:r>
      <w:r>
        <w:rPr>
          <w:rFonts w:ascii="Times New Roman" w:hAnsi="Times New Roman" w:cs="Times New Roman"/>
          <w:lang w:eastAsia="tr-TR"/>
        </w:rPr>
        <w:t>ve 100,4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>puana gerilediği göze çarpmaktadır.</w:t>
      </w:r>
      <w:r w:rsidR="00DB0FFC">
        <w:rPr>
          <w:rFonts w:ascii="Times New Roman" w:hAnsi="Times New Roman" w:cs="Times New Roman"/>
          <w:lang w:eastAsia="tr-TR"/>
        </w:rPr>
        <w:t xml:space="preserve"> </w:t>
      </w:r>
      <w:r w:rsidR="00415908" w:rsidRPr="002B5EAF">
        <w:rPr>
          <w:rFonts w:ascii="Times New Roman" w:hAnsi="Times New Roman" w:cs="Times New Roman"/>
          <w:lang w:eastAsia="tr-TR"/>
        </w:rPr>
        <w:t xml:space="preserve">2014 yılı </w:t>
      </w:r>
      <w:r>
        <w:rPr>
          <w:rFonts w:ascii="Times New Roman" w:hAnsi="Times New Roman" w:cs="Times New Roman"/>
          <w:lang w:eastAsia="tr-TR"/>
        </w:rPr>
        <w:t>Aralık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r>
        <w:rPr>
          <w:rFonts w:ascii="Times New Roman" w:hAnsi="Times New Roman" w:cs="Times New Roman"/>
          <w:lang w:eastAsia="tr-TR"/>
        </w:rPr>
        <w:t>ayına göre bakıldığında ise, 2,1</w:t>
      </w:r>
      <w:r w:rsidR="00415908" w:rsidRPr="002B5EAF">
        <w:rPr>
          <w:rFonts w:ascii="Times New Roman" w:hAnsi="Times New Roman" w:cs="Times New Roman"/>
          <w:lang w:eastAsia="tr-TR"/>
        </w:rPr>
        <w:t xml:space="preserve"> oranında </w:t>
      </w:r>
      <w:r>
        <w:rPr>
          <w:rFonts w:ascii="Times New Roman" w:hAnsi="Times New Roman" w:cs="Times New Roman"/>
          <w:lang w:eastAsia="tr-TR"/>
        </w:rPr>
        <w:t>arttığı (2,1</w:t>
      </w:r>
      <w:r w:rsidR="00415908" w:rsidRPr="002B5EAF">
        <w:rPr>
          <w:rFonts w:ascii="Times New Roman" w:hAnsi="Times New Roman" w:cs="Times New Roman"/>
          <w:lang w:eastAsia="tr-TR"/>
        </w:rPr>
        <w:t xml:space="preserve"> puan) görülmektedir.</w:t>
      </w:r>
      <w:r w:rsidR="008541D6">
        <w:rPr>
          <w:rFonts w:ascii="Times New Roman" w:hAnsi="Times New Roman" w:cs="Times New Roman"/>
          <w:lang w:eastAsia="tr-TR"/>
        </w:rPr>
        <w:t xml:space="preserve"> Böylelikle endeks yıl boyunca 99 - 102 bandında gösterdiği harekete devam etmiştir.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</w:p>
    <w:p w:rsidR="00E12C81" w:rsidRDefault="00E12C81" w:rsidP="00415908">
      <w:pPr>
        <w:jc w:val="both"/>
        <w:rPr>
          <w:rFonts w:ascii="Times New Roman" w:hAnsi="Times New Roman" w:cs="Times New Roman"/>
          <w:lang w:eastAsia="tr-TR"/>
        </w:rPr>
      </w:pPr>
      <w:r w:rsidRPr="002B5EAF">
        <w:rPr>
          <w:rFonts w:ascii="Times New Roman" w:hAnsi="Times New Roman" w:cs="Times New Roman"/>
          <w:lang w:eastAsia="tr-TR"/>
        </w:rPr>
        <w:t xml:space="preserve">Mevsimlikten arındırılmamış </w:t>
      </w:r>
      <w:r w:rsidR="00415908">
        <w:rPr>
          <w:rFonts w:ascii="Times New Roman" w:hAnsi="Times New Roman" w:cs="Times New Roman"/>
          <w:lang w:eastAsia="tr-TR"/>
        </w:rPr>
        <w:t>endeks ise</w:t>
      </w:r>
      <w:r w:rsidRPr="002B5EAF">
        <w:rPr>
          <w:rFonts w:ascii="Times New Roman" w:hAnsi="Times New Roman" w:cs="Times New Roman"/>
          <w:lang w:eastAsia="tr-TR"/>
        </w:rPr>
        <w:t>,</w:t>
      </w:r>
      <w:r w:rsidR="008541D6">
        <w:rPr>
          <w:rFonts w:ascii="Times New Roman" w:hAnsi="Times New Roman" w:cs="Times New Roman"/>
          <w:lang w:eastAsia="tr-TR"/>
        </w:rPr>
        <w:t xml:space="preserve"> Ağustos 2014’ten bu yana ilk defa yükselişe geçmiş ve</w:t>
      </w:r>
      <w:r w:rsidRPr="002B5EAF">
        <w:rPr>
          <w:rFonts w:ascii="Times New Roman" w:hAnsi="Times New Roman" w:cs="Times New Roman"/>
          <w:lang w:eastAsia="tr-TR"/>
        </w:rPr>
        <w:t xml:space="preserve"> 2014 yılının </w:t>
      </w:r>
      <w:r w:rsidR="00EE3747">
        <w:rPr>
          <w:rFonts w:ascii="Times New Roman" w:hAnsi="Times New Roman" w:cs="Times New Roman"/>
          <w:lang w:eastAsia="tr-TR"/>
        </w:rPr>
        <w:t>Aralık ayına göre yüzde 5,9</w:t>
      </w:r>
      <w:r w:rsidRPr="002B5EAF">
        <w:rPr>
          <w:rFonts w:ascii="Times New Roman" w:hAnsi="Times New Roman" w:cs="Times New Roman"/>
          <w:lang w:eastAsia="tr-TR"/>
        </w:rPr>
        <w:t xml:space="preserve"> oranında </w:t>
      </w:r>
      <w:r w:rsidR="00EE3747">
        <w:rPr>
          <w:rFonts w:ascii="Times New Roman" w:hAnsi="Times New Roman" w:cs="Times New Roman"/>
          <w:lang w:eastAsia="tr-TR"/>
        </w:rPr>
        <w:t>artarak</w:t>
      </w:r>
      <w:r w:rsidR="00DB0FFC">
        <w:rPr>
          <w:rFonts w:ascii="Times New Roman" w:hAnsi="Times New Roman" w:cs="Times New Roman"/>
          <w:lang w:eastAsia="tr-TR"/>
        </w:rPr>
        <w:t xml:space="preserve"> (</w:t>
      </w:r>
      <w:r w:rsidR="00EE3747">
        <w:rPr>
          <w:rFonts w:ascii="Times New Roman" w:hAnsi="Times New Roman" w:cs="Times New Roman"/>
          <w:lang w:eastAsia="tr-TR"/>
        </w:rPr>
        <w:t>5,3</w:t>
      </w:r>
      <w:r w:rsidR="00BB0798">
        <w:rPr>
          <w:rFonts w:ascii="Times New Roman" w:hAnsi="Times New Roman" w:cs="Times New Roman"/>
          <w:lang w:eastAsia="tr-TR"/>
        </w:rPr>
        <w:t xml:space="preserve"> p</w:t>
      </w:r>
      <w:r w:rsidR="00EE3747">
        <w:rPr>
          <w:rFonts w:ascii="Times New Roman" w:hAnsi="Times New Roman" w:cs="Times New Roman"/>
          <w:lang w:eastAsia="tr-TR"/>
        </w:rPr>
        <w:t>uan) 94,8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8541D6">
        <w:rPr>
          <w:rFonts w:ascii="Times New Roman" w:hAnsi="Times New Roman" w:cs="Times New Roman"/>
          <w:lang w:eastAsia="tr-TR"/>
        </w:rPr>
        <w:t>olmuştur.</w:t>
      </w:r>
      <w:r w:rsidR="00415908">
        <w:rPr>
          <w:rFonts w:ascii="Times New Roman" w:hAnsi="Times New Roman" w:cs="Times New Roman"/>
          <w:lang w:eastAsia="tr-TR"/>
        </w:rPr>
        <w:t xml:space="preserve"> </w:t>
      </w:r>
      <w:r w:rsidR="008541D6">
        <w:rPr>
          <w:rFonts w:ascii="Times New Roman" w:hAnsi="Times New Roman" w:cs="Times New Roman"/>
          <w:lang w:eastAsia="tr-TR"/>
        </w:rPr>
        <w:t xml:space="preserve">Buna yükselişe rağmen halen </w:t>
      </w:r>
      <w:r w:rsidR="00EE3747">
        <w:rPr>
          <w:rFonts w:ascii="Times New Roman" w:hAnsi="Times New Roman" w:cs="Times New Roman"/>
          <w:lang w:eastAsia="tr-TR"/>
        </w:rPr>
        <w:t>2014</w:t>
      </w:r>
      <w:r w:rsidRPr="002B5EAF">
        <w:rPr>
          <w:rFonts w:ascii="Times New Roman" w:hAnsi="Times New Roman" w:cs="Times New Roman"/>
          <w:lang w:eastAsia="tr-TR"/>
        </w:rPr>
        <w:t xml:space="preserve"> yılı </w:t>
      </w:r>
      <w:r w:rsidR="00EE3747">
        <w:rPr>
          <w:rFonts w:ascii="Times New Roman" w:hAnsi="Times New Roman" w:cs="Times New Roman"/>
          <w:lang w:eastAsia="tr-TR"/>
        </w:rPr>
        <w:t>Ocak</w:t>
      </w:r>
      <w:r w:rsidRPr="002B5EAF">
        <w:rPr>
          <w:rFonts w:ascii="Times New Roman" w:hAnsi="Times New Roman" w:cs="Times New Roman"/>
          <w:lang w:eastAsia="tr-TR"/>
        </w:rPr>
        <w:t xml:space="preserve"> </w:t>
      </w:r>
      <w:r w:rsidR="008541D6">
        <w:rPr>
          <w:rFonts w:ascii="Times New Roman" w:hAnsi="Times New Roman" w:cs="Times New Roman"/>
          <w:lang w:eastAsia="tr-TR"/>
        </w:rPr>
        <w:t xml:space="preserve">ayı seviyesinin </w:t>
      </w:r>
      <w:r w:rsidR="00EE3747">
        <w:rPr>
          <w:rFonts w:ascii="Times New Roman" w:hAnsi="Times New Roman" w:cs="Times New Roman"/>
          <w:lang w:eastAsia="tr-TR"/>
        </w:rPr>
        <w:t>0,8</w:t>
      </w:r>
      <w:r w:rsidR="00415908" w:rsidRPr="002B5EAF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="00415908" w:rsidRPr="002B5EAF">
        <w:rPr>
          <w:rFonts w:ascii="Times New Roman" w:hAnsi="Times New Roman" w:cs="Times New Roman"/>
          <w:lang w:eastAsia="tr-TR"/>
        </w:rPr>
        <w:t>puan</w:t>
      </w:r>
      <w:r w:rsidR="008541D6">
        <w:rPr>
          <w:rFonts w:ascii="Times New Roman" w:hAnsi="Times New Roman" w:cs="Times New Roman"/>
          <w:lang w:eastAsia="tr-TR"/>
        </w:rPr>
        <w:t>altındadır</w:t>
      </w:r>
      <w:proofErr w:type="spellEnd"/>
      <w:r w:rsidR="008541D6">
        <w:rPr>
          <w:rFonts w:ascii="Times New Roman" w:hAnsi="Times New Roman" w:cs="Times New Roman"/>
          <w:lang w:eastAsia="tr-TR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BB3B61">
        <w:rPr>
          <w:rFonts w:ascii="Times New Roman" w:hAnsi="Times New Roman" w:cs="Times New Roman"/>
          <w:sz w:val="22"/>
          <w:szCs w:val="22"/>
        </w:rPr>
        <w:t>Ocak 2014</w:t>
      </w:r>
      <w:r w:rsidRPr="002B5EAF">
        <w:rPr>
          <w:rFonts w:ascii="Times New Roman" w:hAnsi="Times New Roman" w:cs="Times New Roman"/>
          <w:sz w:val="22"/>
          <w:szCs w:val="22"/>
        </w:rPr>
        <w:t>-</w:t>
      </w:r>
      <w:r w:rsidR="00BB3B61">
        <w:rPr>
          <w:rFonts w:ascii="Times New Roman" w:hAnsi="Times New Roman" w:cs="Times New Roman"/>
          <w:sz w:val="22"/>
          <w:szCs w:val="22"/>
        </w:rPr>
        <w:t>Ocak 2015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BB3B61" w:rsidP="00F2387A">
      <w:pPr>
        <w:rPr>
          <w:rFonts w:ascii="Times New Roman" w:hAnsi="Times New Roman" w:cs="Times New Roman"/>
          <w:lang w:eastAsia="tr-TR"/>
        </w:rPr>
      </w:pPr>
      <w:r w:rsidRPr="00BB3B61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5760720" cy="2710711"/>
            <wp:effectExtent l="19050" t="0" r="1143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41D6" w:rsidRDefault="008541D6" w:rsidP="00DC3CEB">
      <w:pPr>
        <w:jc w:val="both"/>
        <w:rPr>
          <w:rFonts w:ascii="Times New Roman" w:hAnsi="Times New Roman" w:cs="Times New Roman"/>
          <w:lang w:eastAsia="tr-TR"/>
        </w:rPr>
      </w:pPr>
    </w:p>
    <w:p w:rsidR="00415908" w:rsidRPr="002B5EAF" w:rsidRDefault="00415908" w:rsidP="00DC3CEB">
      <w:pPr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lastRenderedPageBreak/>
        <w:t xml:space="preserve">Mevsim etkilerinden arındırılmış hizmet sektörü güven endeksinin oluştuğu alt kalemler incelendiğinde (Tablo 2), </w:t>
      </w:r>
      <w:r w:rsidR="003743F5">
        <w:rPr>
          <w:rFonts w:ascii="Times New Roman" w:hAnsi="Times New Roman" w:cs="Times New Roman"/>
          <w:lang w:eastAsia="tr-TR"/>
        </w:rPr>
        <w:t>Aralık 2014’teki seviyeye göre endeksteki yükselişin kaynağının son 3 aylık dönemdeki iş durumu (3,2 puan) ve hizmetlere olan talep (2,7 puan) olduğu görülmektedir.  Ancak gelecek 3 aylık dönemdeki talep beklentisinin durağan olması önümüzdeki dönem için endeksteki artışı sınırlayacak bir veri olarak yorumlanabilir.</w:t>
      </w:r>
      <w:r>
        <w:rPr>
          <w:rFonts w:ascii="Times New Roman" w:hAnsi="Times New Roman" w:cs="Times New Roman"/>
          <w:lang w:eastAsia="tr-TR"/>
        </w:rPr>
        <w:t xml:space="preserve"> </w:t>
      </w:r>
    </w:p>
    <w:p w:rsidR="00415908" w:rsidRDefault="00415908" w:rsidP="00415908">
      <w:pPr>
        <w:pStyle w:val="ResimYazs"/>
        <w:keepNext/>
      </w:pPr>
      <w:r>
        <w:t xml:space="preserve">Tablo </w:t>
      </w:r>
      <w:r w:rsidR="00131A1B">
        <w:fldChar w:fldCharType="begin"/>
      </w:r>
      <w:r w:rsidR="00131A1B">
        <w:instrText xml:space="preserve"> SEQ Tablo \* ARABIC </w:instrText>
      </w:r>
      <w:r w:rsidR="00131A1B">
        <w:fldChar w:fldCharType="separate"/>
      </w:r>
      <w:r>
        <w:rPr>
          <w:noProof/>
        </w:rPr>
        <w:t>2</w:t>
      </w:r>
      <w:r w:rsidR="00131A1B">
        <w:rPr>
          <w:noProof/>
        </w:rPr>
        <w:fldChar w:fldCharType="end"/>
      </w:r>
      <w:r>
        <w:t>: Hizmet sektörü güven endeksi alt bileşenleri (</w:t>
      </w:r>
      <w:r w:rsidR="0067222E">
        <w:t>Aralık 2014</w:t>
      </w:r>
      <w:r>
        <w:t>-</w:t>
      </w:r>
      <w:r w:rsidR="0067222E">
        <w:t>Ocak 2015</w:t>
      </w:r>
      <w: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</w:tr>
      <w:tr w:rsidR="00F73F8D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52" w:type="dxa"/>
            <w:noWrap/>
            <w:hideMark/>
          </w:tcPr>
          <w:p w:rsidR="00F73F8D" w:rsidRPr="00415908" w:rsidRDefault="00B81204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.14</w:t>
            </w:r>
          </w:p>
        </w:tc>
        <w:tc>
          <w:tcPr>
            <w:tcW w:w="1358" w:type="dxa"/>
            <w:noWrap/>
            <w:hideMark/>
          </w:tcPr>
          <w:p w:rsidR="00F73F8D" w:rsidRPr="00415908" w:rsidRDefault="00B81204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</w:t>
            </w:r>
            <w:r w:rsidR="00F73F8D"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.1</w:t>
            </w:r>
            <w:r w:rsidR="00BB3B6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5</w:t>
            </w:r>
          </w:p>
        </w:tc>
      </w:tr>
      <w:tr w:rsidR="005131B0" w:rsidRPr="00F73F8D" w:rsidTr="00F73F8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Hizmet Sektörü Güven Endeksi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BB3B61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98,4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BB3B61" w:rsidP="00976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100</w:t>
            </w:r>
            <w:r w:rsidR="008F037C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5131B0" w:rsidRPr="00F73F8D" w:rsidTr="00F73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 Durumu (Son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BB3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3,2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BB3B61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96</w:t>
            </w:r>
            <w:r w:rsidR="005131B0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</w:tr>
      <w:tr w:rsidR="005131B0" w:rsidRPr="00F73F8D" w:rsidTr="00F73F8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(son 3 aylık dönemde</w:t>
            </w:r>
            <w:r w:rsidR="00BB3B61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BB3B61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90,9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BB3B61" w:rsidP="00F73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93,7</w:t>
            </w:r>
          </w:p>
        </w:tc>
      </w:tr>
      <w:tr w:rsidR="005131B0" w:rsidRPr="00F73F8D" w:rsidTr="00415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5131B0" w:rsidRPr="00F73F8D" w:rsidRDefault="005131B0" w:rsidP="00F73F8D">
            <w:pP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hideMark/>
          </w:tcPr>
          <w:p w:rsidR="005131B0" w:rsidRPr="00F73F8D" w:rsidRDefault="005131B0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11,0</w:t>
            </w:r>
          </w:p>
        </w:tc>
        <w:tc>
          <w:tcPr>
            <w:tcW w:w="1358" w:type="dxa"/>
            <w:noWrap/>
            <w:hideMark/>
          </w:tcPr>
          <w:p w:rsidR="005131B0" w:rsidRPr="00F73F8D" w:rsidRDefault="00282CEF" w:rsidP="00F7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  <w:r w:rsidR="00BB3B61">
              <w:rPr>
                <w:rFonts w:ascii="Calibri" w:eastAsia="Times New Roman" w:hAnsi="Calibri" w:cs="Times New Roman"/>
                <w:color w:val="000000"/>
                <w:lang w:eastAsia="tr-TR"/>
              </w:rPr>
              <w:t>1,1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  <w:lang w:eastAsia="tr-TR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AF0"/>
    <w:rsid w:val="00041E14"/>
    <w:rsid w:val="001026C6"/>
    <w:rsid w:val="00107F1F"/>
    <w:rsid w:val="0011679B"/>
    <w:rsid w:val="00131A1B"/>
    <w:rsid w:val="00161E0D"/>
    <w:rsid w:val="001F45C1"/>
    <w:rsid w:val="002422FE"/>
    <w:rsid w:val="00282CEF"/>
    <w:rsid w:val="002B5EAF"/>
    <w:rsid w:val="0037286A"/>
    <w:rsid w:val="003743F5"/>
    <w:rsid w:val="00376705"/>
    <w:rsid w:val="003E7ABA"/>
    <w:rsid w:val="00414D32"/>
    <w:rsid w:val="00415908"/>
    <w:rsid w:val="00472839"/>
    <w:rsid w:val="004F0E94"/>
    <w:rsid w:val="005131B0"/>
    <w:rsid w:val="005D1EB3"/>
    <w:rsid w:val="0067222E"/>
    <w:rsid w:val="00735C81"/>
    <w:rsid w:val="00746DDE"/>
    <w:rsid w:val="008212B1"/>
    <w:rsid w:val="008541D6"/>
    <w:rsid w:val="008A3853"/>
    <w:rsid w:val="008B29F9"/>
    <w:rsid w:val="008C3A4E"/>
    <w:rsid w:val="008F037C"/>
    <w:rsid w:val="008F6EF4"/>
    <w:rsid w:val="00960957"/>
    <w:rsid w:val="009C7E77"/>
    <w:rsid w:val="00A00243"/>
    <w:rsid w:val="00A270E3"/>
    <w:rsid w:val="00AD6B7D"/>
    <w:rsid w:val="00B81204"/>
    <w:rsid w:val="00BA0AF0"/>
    <w:rsid w:val="00BB0798"/>
    <w:rsid w:val="00BB3B61"/>
    <w:rsid w:val="00BE14F5"/>
    <w:rsid w:val="00C51B65"/>
    <w:rsid w:val="00CA5ACC"/>
    <w:rsid w:val="00CC05F5"/>
    <w:rsid w:val="00D11DC0"/>
    <w:rsid w:val="00D41704"/>
    <w:rsid w:val="00DB0FFC"/>
    <w:rsid w:val="00DC3CEB"/>
    <w:rsid w:val="00E12C81"/>
    <w:rsid w:val="00E14F76"/>
    <w:rsid w:val="00E22179"/>
    <w:rsid w:val="00E326F7"/>
    <w:rsid w:val="00EB68C0"/>
    <w:rsid w:val="00EE3747"/>
    <w:rsid w:val="00F2387A"/>
    <w:rsid w:val="00F5267F"/>
    <w:rsid w:val="00F66CF6"/>
    <w:rsid w:val="00F73F8D"/>
    <w:rsid w:val="00FB149D"/>
    <w:rsid w:val="00F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C0"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-8567619927172611810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ownloads\-5789046559926635707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50380897509824E-2"/>
          <c:y val="4.2416503094706431E-2"/>
          <c:w val="0.69361628576915657"/>
          <c:h val="0.79305702832991143"/>
        </c:manualLayout>
      </c:layout>
      <c:lineChart>
        <c:grouping val="standard"/>
        <c:varyColors val="0"/>
        <c:ser>
          <c:idx val="0"/>
          <c:order val="0"/>
          <c:tx>
            <c:strRef>
              <c:f>Sayfa1!$C$5</c:f>
              <c:strCache>
                <c:ptCount val="1"/>
                <c:pt idx="0">
                  <c:v>Mevsim Etkilerinden Arındırılmış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88.230446063219546</c:v>
                </c:pt>
                <c:pt idx="1">
                  <c:v>81.640372388395079</c:v>
                </c:pt>
                <c:pt idx="2">
                  <c:v>78.314193611891795</c:v>
                </c:pt>
                <c:pt idx="3">
                  <c:v>78.716497054218664</c:v>
                </c:pt>
                <c:pt idx="4">
                  <c:v>79.827096640885912</c:v>
                </c:pt>
                <c:pt idx="5">
                  <c:v>80.448351221686252</c:v>
                </c:pt>
                <c:pt idx="6">
                  <c:v>79.163793856770667</c:v>
                </c:pt>
                <c:pt idx="7">
                  <c:v>82.593343381773067</c:v>
                </c:pt>
                <c:pt idx="8">
                  <c:v>83.796140845342606</c:v>
                </c:pt>
                <c:pt idx="9">
                  <c:v>81.732393347131548</c:v>
                </c:pt>
                <c:pt idx="10">
                  <c:v>82.971316754630152</c:v>
                </c:pt>
                <c:pt idx="11">
                  <c:v>83.239537795706383</c:v>
                </c:pt>
                <c:pt idx="12">
                  <c:v>82.415427266245729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Sayfa1!$C$6</c:f>
              <c:strCache>
                <c:ptCount val="1"/>
                <c:pt idx="0">
                  <c:v>Mevsim Etkilerinden Arındırılmamış İnşaat Sektörü Güven Endeksi</c:v>
                </c:pt>
              </c:strCache>
            </c:strRef>
          </c:tx>
          <c:marker>
            <c:symbol val="none"/>
          </c:marker>
          <c:cat>
            <c:numRef>
              <c:f>Sayfa1!$D$4:$P$4</c:f>
              <c:numCache>
                <c:formatCode>mmm/yy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Sayfa1!$D$6:$P$6</c:f>
              <c:numCache>
                <c:formatCode>0.0</c:formatCode>
                <c:ptCount val="13"/>
                <c:pt idx="0">
                  <c:v>86.894667310692881</c:v>
                </c:pt>
                <c:pt idx="1">
                  <c:v>83.828785698538567</c:v>
                </c:pt>
                <c:pt idx="2">
                  <c:v>84.453658292521666</c:v>
                </c:pt>
                <c:pt idx="3">
                  <c:v>86.729530303551954</c:v>
                </c:pt>
                <c:pt idx="4">
                  <c:v>86.229931433549666</c:v>
                </c:pt>
                <c:pt idx="5">
                  <c:v>84.260626536057302</c:v>
                </c:pt>
                <c:pt idx="6">
                  <c:v>80.9329538978795</c:v>
                </c:pt>
                <c:pt idx="7">
                  <c:v>82.211290707936087</c:v>
                </c:pt>
                <c:pt idx="8">
                  <c:v>80.928408504185029</c:v>
                </c:pt>
                <c:pt idx="9">
                  <c:v>74.846235557199549</c:v>
                </c:pt>
                <c:pt idx="10">
                  <c:v>75.944942703521889</c:v>
                </c:pt>
                <c:pt idx="11">
                  <c:v>73.489662247233227</c:v>
                </c:pt>
                <c:pt idx="12">
                  <c:v>81.092537142537367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93888"/>
        <c:axId val="66450560"/>
      </c:lineChart>
      <c:dateAx>
        <c:axId val="4789388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66450560"/>
        <c:crosses val="autoZero"/>
        <c:auto val="1"/>
        <c:lblOffset val="100"/>
        <c:baseTimeUnit val="months"/>
      </c:dateAx>
      <c:valAx>
        <c:axId val="66450560"/>
        <c:scaling>
          <c:orientation val="minMax"/>
          <c:max val="90"/>
          <c:min val="65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4789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937306447805166"/>
          <c:y val="0.28529830574397302"/>
          <c:w val="0.21825641025641063"/>
          <c:h val="0.4329767088569525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589933611239793E-2"/>
          <c:y val="4.6260498687663965E-2"/>
          <c:w val="0.6721677151467178"/>
          <c:h val="0.77430282152230967"/>
        </c:manualLayout>
      </c:layout>
      <c:lineChart>
        <c:grouping val="standard"/>
        <c:varyColors val="0"/>
        <c:ser>
          <c:idx val="0"/>
          <c:order val="0"/>
          <c:tx>
            <c:strRef>
              <c:f>Sayfa1!$C$4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Sayfa1!$D$3:$P$3</c:f>
              <c:numCache>
                <c:formatCode>mmm/yy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Sayfa1!$D$4:$P$4</c:f>
              <c:numCache>
                <c:formatCode>0.0</c:formatCode>
                <c:ptCount val="13"/>
                <c:pt idx="0">
                  <c:v>95.591217752494629</c:v>
                </c:pt>
                <c:pt idx="1">
                  <c:v>97.96061746297687</c:v>
                </c:pt>
                <c:pt idx="2">
                  <c:v>99.064036833288327</c:v>
                </c:pt>
                <c:pt idx="3">
                  <c:v>104.108310645949</c:v>
                </c:pt>
                <c:pt idx="4">
                  <c:v>105.077599918329</c:v>
                </c:pt>
                <c:pt idx="5">
                  <c:v>105.62327286771487</c:v>
                </c:pt>
                <c:pt idx="6">
                  <c:v>99.725627859344101</c:v>
                </c:pt>
                <c:pt idx="7">
                  <c:v>103.183202686927</c:v>
                </c:pt>
                <c:pt idx="8">
                  <c:v>101.85621811091598</c:v>
                </c:pt>
                <c:pt idx="9">
                  <c:v>98.382789202470477</c:v>
                </c:pt>
                <c:pt idx="10">
                  <c:v>91.113463503082599</c:v>
                </c:pt>
                <c:pt idx="11">
                  <c:v>89.521856079014</c:v>
                </c:pt>
                <c:pt idx="12">
                  <c:v>94.840876380301879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Sayfa1!$C$5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Sayfa1!$D$3:$P$3</c:f>
              <c:numCache>
                <c:formatCode>mmm/yy</c:formatCode>
                <c:ptCount val="13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</c:numCache>
            </c:numRef>
          </c:cat>
          <c:val>
            <c:numRef>
              <c:f>Sayfa1!$D$5:$P$5</c:f>
              <c:numCache>
                <c:formatCode>0.0</c:formatCode>
                <c:ptCount val="13"/>
                <c:pt idx="0">
                  <c:v>101.96449373666667</c:v>
                </c:pt>
                <c:pt idx="1">
                  <c:v>101.94609965666666</c:v>
                </c:pt>
                <c:pt idx="2">
                  <c:v>100.64433513333327</c:v>
                </c:pt>
                <c:pt idx="3">
                  <c:v>99.086642493333343</c:v>
                </c:pt>
                <c:pt idx="4">
                  <c:v>98.110374936666545</c:v>
                </c:pt>
                <c:pt idx="5">
                  <c:v>98.980219793333404</c:v>
                </c:pt>
                <c:pt idx="6">
                  <c:v>97.298296250000007</c:v>
                </c:pt>
                <c:pt idx="7">
                  <c:v>99.652088979999874</c:v>
                </c:pt>
                <c:pt idx="8">
                  <c:v>99.966260103333397</c:v>
                </c:pt>
                <c:pt idx="9">
                  <c:v>98.836650466666654</c:v>
                </c:pt>
                <c:pt idx="10">
                  <c:v>97.415842493333344</c:v>
                </c:pt>
                <c:pt idx="11">
                  <c:v>98.357878329999878</c:v>
                </c:pt>
                <c:pt idx="12">
                  <c:v>100.40924376666669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161984"/>
        <c:axId val="77163520"/>
      </c:lineChart>
      <c:dateAx>
        <c:axId val="7716198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crossAx val="77163520"/>
        <c:crosses val="autoZero"/>
        <c:auto val="1"/>
        <c:lblOffset val="100"/>
        <c:baseTimeUnit val="months"/>
      </c:dateAx>
      <c:valAx>
        <c:axId val="77163520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716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6666666666667"/>
          <c:y val="0.32396358267716591"/>
          <c:w val="0.24756862745098041"/>
          <c:h val="0.41873950131233595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4B13F-B462-4644-81DD-FFA4224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Dila</cp:lastModifiedBy>
  <cp:revision>4</cp:revision>
  <dcterms:created xsi:type="dcterms:W3CDTF">2015-01-26T16:09:00Z</dcterms:created>
  <dcterms:modified xsi:type="dcterms:W3CDTF">2015-01-27T16:08:00Z</dcterms:modified>
</cp:coreProperties>
</file>